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EAD" w:rsidRDefault="000D6EAD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FAQ in tema di astensione dalle udienze penali</w:t>
      </w:r>
    </w:p>
    <w:p w:rsidR="000D6EAD" w:rsidRDefault="000D6EAD">
      <w:pPr>
        <w:jc w:val="both"/>
        <w:rPr>
          <w:rFonts w:ascii="Times New Roman" w:hAnsi="Times New Roman" w:cs="Times New Roman"/>
        </w:rPr>
      </w:pPr>
    </w:p>
    <w:p w:rsidR="00547D6D" w:rsidRDefault="000D6EAD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La Commissione* per l’attuazione delle modalità dell’astensione, proclamata nell’Assemblea degli Avvocati in data 18 febbraio 2014, ha predisposto alcune FAQ per offrire – </w:t>
      </w:r>
      <w:r>
        <w:rPr>
          <w:b/>
          <w:bCs/>
          <w:i/>
          <w:iCs/>
          <w:u w:val="single"/>
        </w:rPr>
        <w:t>senza assunzione di responsabilità</w:t>
      </w:r>
      <w:r>
        <w:rPr>
          <w:b/>
          <w:bCs/>
          <w:i/>
          <w:iCs/>
        </w:rPr>
        <w:t xml:space="preserve"> -  risposte rapide e dirette alle domande più frequentemente poste dai Colleghi  in tema di astensione dalle udienze </w:t>
      </w:r>
      <w:r w:rsidR="00547D6D">
        <w:rPr>
          <w:b/>
          <w:bCs/>
          <w:i/>
          <w:iCs/>
        </w:rPr>
        <w:t>penali.</w:t>
      </w:r>
    </w:p>
    <w:p w:rsidR="000D6EAD" w:rsidRDefault="000D6EAD">
      <w:pPr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b/>
          <w:bCs/>
          <w:i/>
          <w:iCs/>
        </w:rPr>
        <w:t xml:space="preserve">E’ doveroso precisare che  trattasi solo di </w:t>
      </w:r>
      <w:r>
        <w:rPr>
          <w:b/>
          <w:bCs/>
          <w:i/>
          <w:iCs/>
          <w:u w:val="single"/>
        </w:rPr>
        <w:t>consigli</w:t>
      </w:r>
      <w:r>
        <w:rPr>
          <w:b/>
          <w:bCs/>
          <w:i/>
          <w:iCs/>
        </w:rPr>
        <w:t xml:space="preserve">, elaborati sulla base dell’interpretazione del Codice Deontologico, di quello  di autoregolamentazione e della esperienza professionale, </w:t>
      </w:r>
      <w:r>
        <w:rPr>
          <w:b/>
          <w:bCs/>
          <w:i/>
          <w:iCs/>
          <w:u w:val="single"/>
        </w:rPr>
        <w:t>che ciascuno dovrà valutare</w:t>
      </w:r>
      <w:r>
        <w:rPr>
          <w:b/>
          <w:bCs/>
          <w:i/>
          <w:iCs/>
        </w:rPr>
        <w:t xml:space="preserve"> anche in relazione ai singoli casi concreti e che, comunque,</w:t>
      </w:r>
      <w:r>
        <w:t xml:space="preserve"> </w:t>
      </w:r>
      <w:r>
        <w:rPr>
          <w:b/>
          <w:bCs/>
          <w:i/>
          <w:iCs/>
        </w:rPr>
        <w:t xml:space="preserve">non hanno </w:t>
      </w:r>
      <w:r>
        <w:rPr>
          <w:b/>
          <w:bCs/>
          <w:i/>
          <w:iCs/>
          <w:u w:val="single"/>
        </w:rPr>
        <w:t>alcun valore cogente né vincolante</w:t>
      </w:r>
      <w:r>
        <w:rPr>
          <w:rFonts w:ascii="Times New Roman" w:hAnsi="Times New Roman" w:cs="Times New Roman"/>
          <w:b/>
          <w:bCs/>
          <w:i/>
          <w:iCs/>
        </w:rPr>
        <w:t>.</w:t>
      </w:r>
    </w:p>
    <w:p w:rsidR="000D6EAD" w:rsidRDefault="000D6EAD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Ogni ulteriore contributo da parte dei Colleghi è gradito.</w:t>
      </w:r>
    </w:p>
    <w:p w:rsidR="000D6EAD" w:rsidRDefault="000D6EAD">
      <w:pPr>
        <w:jc w:val="center"/>
        <w:rPr>
          <w:b/>
          <w:bCs/>
        </w:rPr>
      </w:pPr>
      <w:r>
        <w:rPr>
          <w:b/>
          <w:bCs/>
        </w:rPr>
        <w:t>************</w:t>
      </w:r>
    </w:p>
    <w:p w:rsidR="000D6EAD" w:rsidRDefault="000D6EAD">
      <w:pPr>
        <w:rPr>
          <w:rFonts w:ascii="Times New Roman" w:hAnsi="Times New Roman" w:cs="Times New Roman"/>
        </w:rPr>
      </w:pPr>
    </w:p>
    <w:p w:rsidR="000D6EAD" w:rsidRDefault="000D6EAD">
      <w:pPr>
        <w:rPr>
          <w:b/>
          <w:bCs/>
        </w:rPr>
      </w:pPr>
      <w:r>
        <w:rPr>
          <w:b/>
          <w:bCs/>
        </w:rPr>
        <w:t>POSSO NON ADERIRE ALL’ASTENSIONE ?</w:t>
      </w:r>
    </w:p>
    <w:p w:rsidR="000D6EAD" w:rsidRDefault="000D6EAD">
      <w:r>
        <w:t>Sì. L’astensione è una libera scelta.</w:t>
      </w:r>
    </w:p>
    <w:p w:rsidR="000D6EAD" w:rsidRDefault="000D6EAD"/>
    <w:p w:rsidR="000D6EAD" w:rsidRDefault="000D6EAD">
      <w:pPr>
        <w:rPr>
          <w:b/>
          <w:bCs/>
        </w:rPr>
      </w:pPr>
      <w:r>
        <w:rPr>
          <w:b/>
          <w:bCs/>
        </w:rPr>
        <w:t>POSSO CAMBIARE IDEA SULL’ASTENSIONE ?</w:t>
      </w:r>
    </w:p>
    <w:p w:rsidR="000D6EAD" w:rsidRDefault="000D6EAD">
      <w:pPr>
        <w:jc w:val="both"/>
        <w:rPr>
          <w:color w:val="000000"/>
        </w:rPr>
      </w:pPr>
      <w:r>
        <w:t>Sì, se subentrano circostanze nuove. Non puoi, però, decidere di astenerti in un procedimento e non astenerti in un altro, in base alla convenienza tua o del cliente</w:t>
      </w:r>
      <w:r>
        <w:rPr>
          <w:color w:val="000000"/>
        </w:rPr>
        <w:t>. Sarebbe opportuno comunque che facessi comunicazione all’Ordine del tuo mutamento di pensiero.</w:t>
      </w:r>
    </w:p>
    <w:p w:rsidR="000D6EAD" w:rsidRDefault="000D6EAD">
      <w:pPr>
        <w:rPr>
          <w:rFonts w:ascii="Times New Roman" w:hAnsi="Times New Roman" w:cs="Times New Roman"/>
        </w:rPr>
      </w:pPr>
    </w:p>
    <w:p w:rsidR="000D6EAD" w:rsidRDefault="000D6EAD">
      <w:pPr>
        <w:rPr>
          <w:rFonts w:ascii="Times New Roman" w:hAnsi="Times New Roman" w:cs="Times New Roman"/>
          <w:color w:val="FF0000"/>
        </w:rPr>
      </w:pPr>
    </w:p>
    <w:p w:rsidR="000D6EAD" w:rsidRDefault="000D6EAD">
      <w:pPr>
        <w:jc w:val="both"/>
        <w:rPr>
          <w:color w:val="000000"/>
        </w:rPr>
      </w:pPr>
      <w:r>
        <w:rPr>
          <w:b/>
          <w:bCs/>
          <w:color w:val="000000"/>
        </w:rPr>
        <w:t>POSSO ADERIRE ALL'ASTENSIONE PER ISCRITTO O DEVO PRESENTARMI IN AULA</w:t>
      </w:r>
      <w:r>
        <w:rPr>
          <w:b/>
          <w:bCs/>
          <w:color w:val="000000"/>
        </w:rPr>
        <w:br/>
        <w:t>NECESSARIAMENTE?</w:t>
      </w:r>
      <w:r>
        <w:rPr>
          <w:b/>
          <w:bCs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color w:val="000000"/>
        </w:rPr>
        <w:t>L'adesione alla astensione può essere fatta anche per iscritto</w:t>
      </w:r>
      <w:r>
        <w:rPr>
          <w:rFonts w:ascii="Arial" w:hAnsi="Arial" w:cs="Arial"/>
          <w:color w:val="000000"/>
        </w:rPr>
        <w:t>,</w:t>
      </w:r>
      <w:r>
        <w:rPr>
          <w:color w:val="000000"/>
        </w:rPr>
        <w:t xml:space="preserve"> con memoria ex art. 121 c.p.p. da allegare a verbale ex art. 482 c.p.p.,  con consigliabile richiesta di lettura in udienza ai fini di formale diffida al Difensore nominando di ufficio ex art. 97 co. 4 c.p.p. che deve essere</w:t>
      </w:r>
      <w:r>
        <w:rPr>
          <w:color w:val="000000"/>
        </w:rPr>
        <w:br/>
        <w:t xml:space="preserve">edotto dei doveri di sostituto (cfr. </w:t>
      </w:r>
      <w:proofErr w:type="spellStart"/>
      <w:r>
        <w:rPr>
          <w:color w:val="000000"/>
        </w:rPr>
        <w:t>Cass</w:t>
      </w:r>
      <w:proofErr w:type="spellEnd"/>
      <w:r>
        <w:rPr>
          <w:color w:val="000000"/>
        </w:rPr>
        <w:t>. Pen., Sez. Unite, 28/02/2006, n.8285, S.G.)</w:t>
      </w:r>
      <w:r>
        <w:rPr>
          <w:color w:val="000000"/>
        </w:rPr>
        <w:br/>
      </w:r>
      <w:r>
        <w:rPr>
          <w:color w:val="000000"/>
        </w:rPr>
        <w:br/>
      </w:r>
    </w:p>
    <w:p w:rsidR="000D6EAD" w:rsidRDefault="000D6EAD">
      <w:pPr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SE ADERISCO PER ISCRITTO CON MEMORIA HO DIRITTO ALLA NOTIFICA DELLA DATA</w:t>
      </w:r>
      <w:r>
        <w:rPr>
          <w:b/>
          <w:bCs/>
          <w:color w:val="000000"/>
        </w:rPr>
        <w:br/>
        <w:t>DI RINVIO ?</w:t>
      </w:r>
      <w:r>
        <w:rPr>
          <w:b/>
          <w:bCs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color w:val="000000"/>
        </w:rPr>
        <w:t xml:space="preserve">Non </w:t>
      </w:r>
      <w:proofErr w:type="spellStart"/>
      <w:r>
        <w:rPr>
          <w:color w:val="000000"/>
        </w:rPr>
        <w:t>é</w:t>
      </w:r>
      <w:proofErr w:type="spellEnd"/>
      <w:r>
        <w:rPr>
          <w:color w:val="000000"/>
        </w:rPr>
        <w:t xml:space="preserve"> previsto, secondo la consolidata interpretazione giurisprudenziale, un diritto alla </w:t>
      </w:r>
    </w:p>
    <w:p w:rsidR="000D6EAD" w:rsidRDefault="000D6EAD">
      <w:pPr>
        <w:rPr>
          <w:rFonts w:ascii="Arial" w:hAnsi="Arial" w:cs="Arial"/>
          <w:color w:val="000000"/>
        </w:rPr>
      </w:pPr>
      <w:r>
        <w:rPr>
          <w:color w:val="000000"/>
        </w:rPr>
        <w:t>notifica del verbale di udienza che indica la data di rinvio.</w:t>
      </w:r>
      <w:r>
        <w:rPr>
          <w:color w:val="000000"/>
        </w:rPr>
        <w:br/>
        <w:t>E' previsto,  invece, l'obbligo di notiziare nelle forme opportune della eventuale data di rinvio dell'udienza il Difensore di fiducia (ai sensi dell'art. 22 Codice Deontologico Forense vigente) ad onere e cura del Difensore nominato di ufficio</w:t>
      </w:r>
      <w:r>
        <w:rPr>
          <w:rFonts w:ascii="Arial" w:hAnsi="Arial" w:cs="Arial"/>
          <w:color w:val="000000"/>
        </w:rPr>
        <w:t>,</w:t>
      </w:r>
      <w:r>
        <w:rPr>
          <w:color w:val="000000"/>
        </w:rPr>
        <w:t xml:space="preserve"> anche nelle forme dell'art. 97 co. 4 c.p.p.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</w:rPr>
        <w:t>SE IL DIFENSORE D’ UFFICIO NOMINATO INTENDE NON ADERIRE ALLA ASTENSIONE,</w:t>
      </w:r>
      <w:r>
        <w:rPr>
          <w:b/>
          <w:bCs/>
          <w:color w:val="000000"/>
        </w:rPr>
        <w:br/>
        <w:t>COSA SUCCEDE ?</w:t>
      </w:r>
      <w:r>
        <w:rPr>
          <w:b/>
          <w:bCs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color w:val="000000"/>
        </w:rPr>
        <w:t>Il Difensore di Ufficio ha il dovere di  INSISTERE per l’accoglimento della istanza del Difensore di fiducia. Solo in ipotesi di rigetto della stessa,  da parte del Giudice, può procedere oltre.</w:t>
      </w:r>
      <w:r>
        <w:rPr>
          <w:color w:val="000000"/>
        </w:rPr>
        <w:br/>
      </w:r>
      <w:r>
        <w:rPr>
          <w:color w:val="000000"/>
        </w:rPr>
        <w:br/>
      </w:r>
    </w:p>
    <w:p w:rsidR="000D6EAD" w:rsidRDefault="000D6EAD">
      <w:pPr>
        <w:rPr>
          <w:rFonts w:ascii="Arial" w:hAnsi="Arial" w:cs="Arial"/>
          <w:color w:val="000000"/>
        </w:rPr>
      </w:pPr>
    </w:p>
    <w:p w:rsidR="000D6EAD" w:rsidRDefault="000D6EAD">
      <w:pPr>
        <w:rPr>
          <w:rFonts w:ascii="Arial" w:hAnsi="Arial" w:cs="Arial"/>
          <w:color w:val="000000"/>
        </w:rPr>
      </w:pPr>
    </w:p>
    <w:p w:rsidR="000D6EAD" w:rsidRDefault="000D6EAD">
      <w:pPr>
        <w:rPr>
          <w:rFonts w:ascii="Arial" w:hAnsi="Arial" w:cs="Arial"/>
          <w:b/>
          <w:bCs/>
          <w:color w:val="000000"/>
        </w:rPr>
      </w:pPr>
      <w:r>
        <w:rPr>
          <w:b/>
          <w:bCs/>
          <w:color w:val="000000"/>
        </w:rPr>
        <w:lastRenderedPageBreak/>
        <w:t>IL DIFENSORE D’ UFFICIO HA DIRITTO AD ESSERE RETRIBUITO PER LA MERA DICHIARAZIONE DI ASTENSIONE ?</w:t>
      </w:r>
      <w:r>
        <w:rPr>
          <w:b/>
          <w:bCs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color w:val="000000"/>
        </w:rPr>
        <w:t>ASSOLUTAMENTE NO.</w:t>
      </w:r>
      <w:r>
        <w:rPr>
          <w:color w:val="000000"/>
        </w:rPr>
        <w:br/>
        <w:t>Non sussiste diritto ad alcuna retribuzione a titolo di onorario a carico dell'imputato,  trattandosi di udienza di mero rinvio.</w:t>
      </w:r>
      <w:r>
        <w:rPr>
          <w:color w:val="000000"/>
        </w:rPr>
        <w:br/>
        <w:t>Per la partecipazione alle udienze di mero rinvio;  l'attività defensionale va retribuita soltanto ai sensi del numero 2 della tabella, che prevede i compensi per esame e studio "</w:t>
      </w:r>
      <w:r>
        <w:rPr>
          <w:i/>
          <w:iCs/>
          <w:color w:val="000000"/>
        </w:rPr>
        <w:t xml:space="preserve">prima della partecipazione a ogni udienza in camera di consiglio o dibattimentale"  </w:t>
      </w:r>
      <w:r>
        <w:rPr>
          <w:color w:val="000000"/>
        </w:rPr>
        <w:t>(</w:t>
      </w:r>
      <w:proofErr w:type="spellStart"/>
      <w:r>
        <w:rPr>
          <w:color w:val="000000"/>
        </w:rPr>
        <w:t>Cass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pen</w:t>
      </w:r>
      <w:proofErr w:type="spellEnd"/>
      <w:r>
        <w:rPr>
          <w:color w:val="000000"/>
        </w:rPr>
        <w:t>., Sez. IV, 02/03/2004, n.23586, M. in Guida al Diritto, 2004, 26,74).</w:t>
      </w:r>
      <w:r>
        <w:rPr>
          <w:color w:val="000000"/>
        </w:rPr>
        <w:br/>
        <w:t xml:space="preserve">Tanto anche in virtù dell'art. 8 comma 4 Regolamento 12.01.11 COA Lecce: </w:t>
      </w:r>
      <w:r>
        <w:rPr>
          <w:i/>
          <w:iCs/>
          <w:color w:val="000000"/>
        </w:rPr>
        <w:t>"il difensore d'ufficio nominato ex art. 97, co. 4, c.p.p. non deve chiedere il pagamento delle competenze per la partecipazione ad udienze di mero rinvio".</w:t>
      </w:r>
      <w:r>
        <w:rPr>
          <w:i/>
          <w:iCs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b/>
          <w:bCs/>
          <w:color w:val="000000"/>
        </w:rPr>
        <w:t>SE IN UN PROCESSO SONO IMPEGNATI PIU' AVVOCATI, ALCUNI ADERENTI ALLA</w:t>
      </w:r>
      <w:r>
        <w:rPr>
          <w:b/>
          <w:bCs/>
          <w:color w:val="000000"/>
        </w:rPr>
        <w:br/>
        <w:t>ASTENSIONE E ALTRI CONTRARI CHE COSA SUCCEDE ?</w:t>
      </w:r>
      <w:r>
        <w:rPr>
          <w:b/>
          <w:bCs/>
          <w:color w:val="000000"/>
        </w:rPr>
        <w:br/>
      </w:r>
    </w:p>
    <w:p w:rsidR="000D6EAD" w:rsidRDefault="000D6EAD">
      <w:pPr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Gli Avvocati che </w:t>
      </w:r>
      <w:r>
        <w:rPr>
          <w:b/>
          <w:bCs/>
          <w:color w:val="000000"/>
        </w:rPr>
        <w:t>non intendano aderire</w:t>
      </w:r>
      <w:r>
        <w:rPr>
          <w:color w:val="000000"/>
        </w:rPr>
        <w:t xml:space="preserve"> devono previamente (almeno due gg. antecedenti all'udienza) informare tutti i Difensori interessati alla causa, ai sensi dell’ art. 39 Cod. </w:t>
      </w:r>
      <w:proofErr w:type="spellStart"/>
      <w:r>
        <w:rPr>
          <w:color w:val="000000"/>
        </w:rPr>
        <w:t>Deont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Dovranno, in ogni caso, NON opporsi al rinvio del processo per legittimo impedimento del Difensore aderente. </w:t>
      </w:r>
    </w:p>
    <w:p w:rsidR="000D6EAD" w:rsidRDefault="000D6EAD">
      <w:pPr>
        <w:rPr>
          <w:rFonts w:ascii="Arial" w:hAnsi="Arial" w:cs="Arial"/>
          <w:color w:val="000000"/>
        </w:rPr>
      </w:pPr>
      <w:r>
        <w:rPr>
          <w:color w:val="000000"/>
        </w:rPr>
        <w:t>Una diversa condotta potrà essere oggetto di segnalazione all’Ordine.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</w:rPr>
        <w:t xml:space="preserve"> POSSO ASTENERMI IN CAUSE CHE SI CELEBRANO FUORI DAL FORO di APPARTENENZA.</w:t>
      </w:r>
      <w:r>
        <w:rPr>
          <w:b/>
          <w:bCs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color w:val="000000"/>
        </w:rPr>
        <w:t>Il Codice deontologico forense non contempla detta facoltà, pertanto, l'Avvocato NON può esercitare il diritto di astensione fuori dal circondario.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</w:rPr>
        <w:t>POSSO ASTENERMI IN CAUSE NELLE QUALI  L'IMPUTATO E' DETENUTO ?</w:t>
      </w:r>
      <w:r>
        <w:rPr>
          <w:b/>
          <w:bCs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color w:val="000000"/>
        </w:rPr>
        <w:t>Sì</w:t>
      </w:r>
      <w:r>
        <w:rPr>
          <w:rFonts w:ascii="Arial" w:hAnsi="Arial" w:cs="Arial"/>
          <w:color w:val="000000"/>
        </w:rPr>
        <w:t>,</w:t>
      </w:r>
      <w:r>
        <w:rPr>
          <w:color w:val="000000"/>
        </w:rPr>
        <w:t xml:space="preserve">   </w:t>
      </w:r>
      <w:r>
        <w:rPr>
          <w:b/>
          <w:bCs/>
          <w:color w:val="000000"/>
        </w:rPr>
        <w:t>ma solo con il consenso espresso dell'imputato</w:t>
      </w:r>
      <w:r>
        <w:rPr>
          <w:color w:val="000000"/>
        </w:rPr>
        <w:t xml:space="preserve">. </w:t>
      </w:r>
    </w:p>
    <w:p w:rsidR="000D6EAD" w:rsidRDefault="000D6EAD">
      <w:pPr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color w:val="000000"/>
        </w:rPr>
        <w:t xml:space="preserve">Ove lo stesso sia assente o voglia rinunciare a comparire </w:t>
      </w:r>
      <w:proofErr w:type="spellStart"/>
      <w:r>
        <w:rPr>
          <w:color w:val="000000"/>
        </w:rPr>
        <w:t>é</w:t>
      </w:r>
      <w:proofErr w:type="spellEnd"/>
      <w:r>
        <w:rPr>
          <w:color w:val="000000"/>
        </w:rPr>
        <w:t xml:space="preserve"> tuttavia consigliabile una dichiarazione all'Ufficio Matricola del Carcere dove l’imputato </w:t>
      </w:r>
      <w:proofErr w:type="spellStart"/>
      <w:r>
        <w:rPr>
          <w:color w:val="000000"/>
        </w:rPr>
        <w:t>é</w:t>
      </w:r>
      <w:proofErr w:type="spellEnd"/>
      <w:r>
        <w:rPr>
          <w:color w:val="000000"/>
        </w:rPr>
        <w:t xml:space="preserve"> ristretto ex art. 123 c.p.p.</w:t>
      </w:r>
      <w:r>
        <w:rPr>
          <w:color w:val="000000"/>
        </w:rPr>
        <w:br/>
        <w:t>L'Avvocato è sempre libero di rinunciare al mandato, in ipotesi di contrasto tra la volontà del detenuto e la propria libera scelta di esercizio del diritto di astensione. In questo ultimo caso dovrà agire nel rispetto dell'art. 107 comma 3 c.p.p</w:t>
      </w:r>
      <w:r>
        <w:rPr>
          <w:color w:val="000000"/>
          <w:sz w:val="20"/>
          <w:szCs w:val="20"/>
        </w:rPr>
        <w:t xml:space="preserve">.  </w:t>
      </w:r>
      <w:r>
        <w:rPr>
          <w:i/>
          <w:iCs/>
          <w:color w:val="000000"/>
          <w:sz w:val="20"/>
          <w:szCs w:val="20"/>
        </w:rPr>
        <w:t>(</w:t>
      </w:r>
      <w:r>
        <w:rPr>
          <w:i/>
          <w:iCs/>
          <w:color w:val="000000"/>
          <w:sz w:val="20"/>
          <w:szCs w:val="20"/>
          <w:shd w:val="clear" w:color="auto" w:fill="F9F8F5"/>
        </w:rPr>
        <w:t>La rinuncia non ha effetto finché la parte non risulti assistita da un nuovo</w:t>
      </w:r>
      <w:r>
        <w:rPr>
          <w:rStyle w:val="apple-converted-space"/>
          <w:rFonts w:ascii="Tahoma" w:hAnsi="Tahoma" w:cs="Tahoma"/>
          <w:i/>
          <w:iCs/>
          <w:color w:val="000000"/>
          <w:sz w:val="20"/>
          <w:szCs w:val="20"/>
          <w:shd w:val="clear" w:color="auto" w:fill="F9F8F5"/>
        </w:rPr>
        <w:t> </w:t>
      </w:r>
      <w:hyperlink r:id="rId5" w:tooltip="Dizionario Giuridico:difensore di fiducia" w:history="1">
        <w:r>
          <w:rPr>
            <w:rStyle w:val="Collegamentoipertestuale"/>
            <w:rFonts w:ascii="Cambria" w:hAnsi="Cambria" w:cs="Cambria"/>
            <w:i/>
            <w:iCs/>
            <w:color w:val="000000"/>
            <w:sz w:val="20"/>
            <w:szCs w:val="20"/>
            <w:shd w:val="clear" w:color="auto" w:fill="F9F8F5"/>
          </w:rPr>
          <w:t>difensore di fiducia</w:t>
        </w:r>
      </w:hyperlink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  <w:shd w:val="clear" w:color="auto" w:fill="F9F8F5"/>
        </w:rPr>
        <w:t xml:space="preserve">o da un </w:t>
      </w:r>
      <w:hyperlink r:id="rId6" w:tooltip="Dizionario Giuridico: Difensore di ufficio" w:history="1">
        <w:r>
          <w:rPr>
            <w:rStyle w:val="Collegamentoipertestuale"/>
            <w:rFonts w:ascii="Cambria" w:hAnsi="Cambria" w:cs="Cambria"/>
            <w:i/>
            <w:iCs/>
            <w:color w:val="000000"/>
            <w:sz w:val="20"/>
            <w:szCs w:val="20"/>
            <w:shd w:val="clear" w:color="auto" w:fill="F9F8F5"/>
          </w:rPr>
          <w:t>difensore di ufficio</w:t>
        </w:r>
      </w:hyperlink>
      <w:r>
        <w:rPr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  <w:shd w:val="clear" w:color="auto" w:fill="F9F8F5"/>
        </w:rPr>
        <w:t>e non sia decorso il termine eventualmente concesso a norma dell'articolo</w:t>
      </w:r>
      <w:r>
        <w:rPr>
          <w:rStyle w:val="apple-converted-space"/>
          <w:rFonts w:ascii="Tahoma" w:hAnsi="Tahoma" w:cs="Tahoma"/>
          <w:i/>
          <w:iCs/>
          <w:color w:val="000000"/>
          <w:sz w:val="20"/>
          <w:szCs w:val="20"/>
          <w:shd w:val="clear" w:color="auto" w:fill="F9F8F5"/>
        </w:rPr>
        <w:t> </w:t>
      </w:r>
      <w:hyperlink r:id="rId7" w:tooltip="Termine per la difesa" w:history="1">
        <w:r>
          <w:rPr>
            <w:rStyle w:val="Collegamentoipertestuale"/>
            <w:rFonts w:ascii="Cambria" w:hAnsi="Cambria" w:cs="Cambria"/>
            <w:i/>
            <w:iCs/>
            <w:color w:val="000000"/>
            <w:sz w:val="20"/>
            <w:szCs w:val="20"/>
            <w:shd w:val="clear" w:color="auto" w:fill="F9F8F5"/>
          </w:rPr>
          <w:t>108</w:t>
        </w:r>
      </w:hyperlink>
      <w:r>
        <w:rPr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i/>
          <w:iCs/>
          <w:color w:val="000000"/>
          <w:sz w:val="20"/>
          <w:szCs w:val="20"/>
        </w:rPr>
        <w:t>cpp</w:t>
      </w:r>
      <w:proofErr w:type="spellEnd"/>
      <w:r>
        <w:rPr>
          <w:i/>
          <w:iCs/>
          <w:color w:val="000000"/>
          <w:sz w:val="20"/>
          <w:szCs w:val="20"/>
        </w:rPr>
        <w:t>)</w:t>
      </w:r>
      <w:r>
        <w:rPr>
          <w:i/>
          <w:iCs/>
          <w:color w:val="000000"/>
          <w:sz w:val="20"/>
          <w:szCs w:val="20"/>
          <w:shd w:val="clear" w:color="auto" w:fill="F9F8F5"/>
        </w:rPr>
        <w:t xml:space="preserve">. </w:t>
      </w:r>
    </w:p>
    <w:p w:rsidR="000D6EAD" w:rsidRDefault="000D6EAD">
      <w:pPr>
        <w:rPr>
          <w:rFonts w:ascii="Arial" w:hAnsi="Arial" w:cs="Arial"/>
          <w:color w:val="000000"/>
          <w:sz w:val="20"/>
          <w:szCs w:val="20"/>
        </w:rPr>
      </w:pPr>
    </w:p>
    <w:p w:rsidR="000D6EAD" w:rsidRDefault="000D6EAD">
      <w:pPr>
        <w:rPr>
          <w:color w:val="000000"/>
        </w:rPr>
      </w:pPr>
      <w:r>
        <w:rPr>
          <w:b/>
          <w:bCs/>
          <w:color w:val="000000"/>
        </w:rPr>
        <w:t>COME DEVO COMPORTARMI QUALORA UN COLLEGA VIOLI  IL MIO DIRITTO DI ASTENERMI DALLE UDIENZE ?</w:t>
      </w:r>
      <w:r>
        <w:rPr>
          <w:b/>
          <w:bCs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color w:val="000000"/>
        </w:rPr>
        <w:t>Si potrà segnalare al Consiglio dell’Ordine il comportamento tenuto dal Collega, in violazione del Codice Deontologico.</w:t>
      </w:r>
    </w:p>
    <w:p w:rsidR="000D6EAD" w:rsidRDefault="000D6EAD">
      <w:pPr>
        <w:jc w:val="both"/>
        <w:rPr>
          <w:rFonts w:ascii="Arial" w:hAnsi="Arial" w:cs="Arial"/>
          <w:color w:val="000000"/>
        </w:rPr>
      </w:pPr>
      <w:r>
        <w:rPr>
          <w:color w:val="000000"/>
        </w:rPr>
        <w:t>Sarà inoltre possibile chiedere al Giudice  di voler segnalare al Consiglio dell’Ordine   la violazione dei doveri di lealtà e di probità del Collega, ai sensi dell’art. 105 co. 4 c.p.p.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br/>
      </w:r>
    </w:p>
    <w:p w:rsidR="000D6EAD" w:rsidRDefault="000D6EAD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color w:val="000000"/>
        </w:rPr>
        <w:t>*</w:t>
      </w:r>
      <w:r>
        <w:rPr>
          <w:i/>
          <w:iCs/>
          <w:color w:val="000000"/>
          <w:sz w:val="20"/>
          <w:szCs w:val="20"/>
        </w:rPr>
        <w:t xml:space="preserve">La Commissione per l’attuazione dell’astensione è composta agli Avv.ti: Raffaele Fatano, Roberta Altavilla, Annagrazia </w:t>
      </w:r>
      <w:proofErr w:type="spellStart"/>
      <w:r>
        <w:rPr>
          <w:i/>
          <w:iCs/>
          <w:color w:val="000000"/>
          <w:sz w:val="20"/>
          <w:szCs w:val="20"/>
        </w:rPr>
        <w:t>Maraschio</w:t>
      </w:r>
      <w:proofErr w:type="spellEnd"/>
      <w:r>
        <w:rPr>
          <w:i/>
          <w:iCs/>
          <w:color w:val="000000"/>
          <w:sz w:val="20"/>
          <w:szCs w:val="20"/>
        </w:rPr>
        <w:t xml:space="preserve">, Giovanni Bellisario, Luisa Carpentieri, Luigi </w:t>
      </w:r>
      <w:proofErr w:type="spellStart"/>
      <w:r>
        <w:rPr>
          <w:i/>
          <w:iCs/>
          <w:color w:val="000000"/>
          <w:sz w:val="20"/>
          <w:szCs w:val="20"/>
        </w:rPr>
        <w:t>Covella</w:t>
      </w:r>
      <w:proofErr w:type="spellEnd"/>
      <w:r>
        <w:rPr>
          <w:i/>
          <w:iCs/>
          <w:color w:val="000000"/>
          <w:sz w:val="20"/>
          <w:szCs w:val="20"/>
        </w:rPr>
        <w:t xml:space="preserve">, Daniela De Liguori, Domenico Guadalupi, Marcello Marcuccio, Rita </w:t>
      </w:r>
      <w:proofErr w:type="spellStart"/>
      <w:r>
        <w:rPr>
          <w:i/>
          <w:iCs/>
          <w:color w:val="000000"/>
          <w:sz w:val="20"/>
          <w:szCs w:val="20"/>
        </w:rPr>
        <w:t>Perchiazzi</w:t>
      </w:r>
      <w:proofErr w:type="spellEnd"/>
      <w:r>
        <w:rPr>
          <w:i/>
          <w:iCs/>
          <w:color w:val="000000"/>
          <w:sz w:val="20"/>
          <w:szCs w:val="20"/>
        </w:rPr>
        <w:t>, Paolo Spalluto, Maurizio Villani, Walter D. Zappatore.</w:t>
      </w:r>
    </w:p>
    <w:sectPr w:rsidR="000D6EAD" w:rsidSect="000D6EAD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efaultTabStop w:val="708"/>
  <w:hyphenationZone w:val="283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EAD"/>
    <w:rsid w:val="000D6EAD"/>
    <w:rsid w:val="0054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mbria" w:hAnsi="Cambria" w:cs="Cambria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uiPriority w:val="99"/>
    <w:rPr>
      <w:rFonts w:ascii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rPr>
      <w:rFonts w:ascii="Times New Roman" w:hAnsi="Times New Roman"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mbria" w:hAnsi="Cambria" w:cs="Cambria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uiPriority w:val="99"/>
    <w:rPr>
      <w:rFonts w:ascii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rocardi.it/articoli/5331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rocardi.it/dizionario/5602.html" TargetMode="External"/><Relationship Id="rId5" Type="http://schemas.openxmlformats.org/officeDocument/2006/relationships/hyperlink" Target="http://www.brocardi.it/dizionario/5599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858</Words>
  <Characters>4893</Characters>
  <Application>Microsoft Office Word</Application>
  <DocSecurity>4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FAQ CIVILE</vt:lpstr>
    </vt:vector>
  </TitlesOfParts>
  <Company>RITA PERCHIAZZI</Company>
  <LinksUpToDate>false</LinksUpToDate>
  <CharactersWithSpaces>5740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FAQ CIVILE</dc:title>
  <dc:creator>RITA</dc:creator>
  <cp:lastModifiedBy>robi</cp:lastModifiedBy>
  <cp:revision>2</cp:revision>
  <dcterms:created xsi:type="dcterms:W3CDTF">2014-03-13T18:21:00Z</dcterms:created>
  <dcterms:modified xsi:type="dcterms:W3CDTF">2014-03-13T18:21:00Z</dcterms:modified>
</cp:coreProperties>
</file>